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color w:val="0000FF"/>
          <w:sz w:val="24"/>
        </w:rPr>
      </w:pPr>
    </w:p>
    <w:p>
      <w:pPr>
        <w:pStyle w:val="0"/>
        <w:jc w:val="left"/>
        <w:rPr>
          <w:rFonts w:hint="default"/>
          <w:sz w:val="28"/>
          <w:u w:val="single" w:color="auto"/>
        </w:rPr>
      </w:pPr>
    </w:p>
    <w:p>
      <w:pPr>
        <w:pStyle w:val="0"/>
        <w:ind w:leftChars="0" w:firstLine="4620" w:firstLineChars="2200"/>
        <w:jc w:val="left"/>
        <w:rPr>
          <w:rFonts w:hint="default"/>
          <w:color w:val="000000"/>
          <w:kern w:val="0"/>
        </w:rPr>
      </w:pPr>
      <w:r>
        <w:rPr>
          <w:rFonts w:hint="default"/>
          <w:u w:val="single" w:color="auto"/>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自動閉鎖陸閘工事（１）</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napToGrid w:val="0"/>
              <w:spacing w:line="240" w:lineRule="exact"/>
              <w:ind w:firstLine="210" w:firstLineChars="100"/>
              <w:rPr>
                <w:rFonts w:hint="eastAsia"/>
                <w:color w:val="000000" w:themeColor="text1"/>
              </w:rPr>
            </w:pPr>
            <w:r>
              <w:rPr>
                <w:rFonts w:hint="eastAsia"/>
                <w:color w:val="000000" w:themeColor="text1"/>
              </w:rPr>
              <w:t>当該陸閘は，特殊な構造を持つ自動閉鎖陸閘でかつ，大型の扉体（</w:t>
            </w:r>
            <w:r>
              <w:rPr>
                <w:rFonts w:hint="eastAsia" w:ascii="Times New Roman" w:hAnsi="Times New Roman" w:eastAsia="ＭＳ 明朝"/>
                <w:color w:val="000000" w:themeColor="text1"/>
                <w:spacing w:val="0"/>
                <w:w w:val="100"/>
                <w:sz w:val="21"/>
              </w:rPr>
              <w:t>W=5.5m,H=</w:t>
            </w:r>
            <w:r>
              <w:rPr>
                <w:rFonts w:hint="default" w:ascii="Times New Roman" w:hAnsi="Times New Roman" w:eastAsia="ＭＳ 明朝"/>
                <w:color w:val="000000" w:themeColor="text1"/>
                <w:spacing w:val="0"/>
                <w:w w:val="100"/>
                <w:sz w:val="21"/>
              </w:rPr>
              <w:t>3.986</w:t>
            </w:r>
            <w:r>
              <w:rPr>
                <w:rFonts w:hint="eastAsia" w:ascii="Times New Roman" w:hAnsi="Times New Roman" w:eastAsia="ＭＳ 明朝"/>
                <w:color w:val="000000" w:themeColor="text1"/>
                <w:spacing w:val="0"/>
                <w:w w:val="100"/>
                <w:sz w:val="21"/>
              </w:rPr>
              <w:t>m</w:t>
            </w:r>
            <w:r>
              <w:rPr>
                <w:rFonts w:hint="eastAsia"/>
                <w:color w:val="000000" w:themeColor="text1"/>
              </w:rPr>
              <w:t>）であることから，運搬を考慮した扉体の分割が必要となるとともに出来形精度や品質の確保が求められる。</w:t>
            </w:r>
          </w:p>
          <w:p>
            <w:pPr>
              <w:pStyle w:val="0"/>
              <w:snapToGrid w:val="0"/>
              <w:spacing w:line="240" w:lineRule="exact"/>
              <w:ind w:firstLine="210" w:firstLineChars="100"/>
              <w:rPr>
                <w:rFonts w:hint="eastAsia"/>
                <w:color w:val="000000" w:themeColor="text1"/>
              </w:rPr>
            </w:pPr>
            <w:r>
              <w:rPr>
                <w:rFonts w:hint="eastAsia"/>
                <w:color w:val="000000" w:themeColor="text1"/>
              </w:rPr>
              <w:t>また，現地搬入後の扉体の組立て・据付け時に支障を及ぼさないよう，運搬（積込み・運搬・荷下ろし）時に，扉体等の変形・破損を防ぐ取り組みが必要となる。</w:t>
            </w:r>
          </w:p>
          <w:p>
            <w:pPr>
              <w:pStyle w:val="0"/>
              <w:snapToGrid w:val="0"/>
              <w:spacing w:line="240" w:lineRule="exact"/>
              <w:ind w:firstLine="210" w:firstLineChars="100"/>
              <w:rPr>
                <w:rFonts w:hint="eastAsia"/>
                <w:color w:val="0070C0"/>
              </w:rPr>
            </w:pPr>
            <w:r>
              <w:rPr>
                <w:rFonts w:hint="eastAsia"/>
                <w:color w:val="000000" w:themeColor="text1"/>
              </w:rPr>
              <w:t>加えて，陸閘は供用後，長期間安定して機能を確保していることが必要なため，据付け時の施工確認，据付け後の手動操作及び自動起立性能の確認が重要である</w:t>
            </w:r>
            <w:r>
              <w:rPr>
                <w:rFonts w:hint="eastAsia"/>
                <w:color w:val="0070C0"/>
              </w:rPr>
              <w:t>。</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r>
              <w:rPr>
                <w:rFonts w:hint="eastAsia" w:ascii="Times New Roman" w:hAnsi="Times New Roman" w:eastAsia="ＭＳ 明朝"/>
                <w:color w:val="000000"/>
                <w:spacing w:val="0"/>
                <w:w w:val="100"/>
                <w:sz w:val="21"/>
              </w:rPr>
              <w:t>これらのことを踏まえて，次の全ての事項について具体的に記述すること。</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①製作における品質確保について</w:t>
            </w: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napToGrid w:val="0"/>
              <w:spacing w:line="240" w:lineRule="exact"/>
              <w:ind w:leftChars="0" w:firstLine="0" w:firstLineChars="0"/>
              <w:rPr>
                <w:rFonts w:hint="eastAsia"/>
                <w:color w:val="auto"/>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②</w:t>
            </w:r>
            <w:r>
              <w:rPr>
                <w:rFonts w:hint="eastAsia"/>
              </w:rPr>
              <w:t>運搬（積込み・運搬・荷下ろし）における変形・破損防止対策</w:t>
            </w:r>
            <w:r>
              <w:rPr>
                <w:rFonts w:hint="eastAsia" w:ascii="Times New Roman" w:hAnsi="Times New Roman" w:eastAsia="ＭＳ 明朝"/>
                <w:b w:val="0"/>
                <w:color w:val="000000"/>
                <w:spacing w:val="0"/>
                <w:w w:val="100"/>
                <w:sz w:val="21"/>
              </w:rPr>
              <w:t>について</w:t>
            </w: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40" w:lineRule="exact"/>
              <w:jc w:val="both"/>
              <w:rPr>
                <w:rFonts w:hint="eastAsia"/>
              </w:rPr>
            </w:pPr>
          </w:p>
          <w:p>
            <w:pPr>
              <w:pStyle w:val="0"/>
              <w:overflowPunct w:val="0"/>
              <w:snapToGrid w:val="0"/>
              <w:spacing w:line="240" w:lineRule="exact"/>
              <w:ind w:left="-23" w:leftChars="0" w:firstLine="210" w:firstLineChars="100"/>
              <w:jc w:val="left"/>
              <w:textAlignment w:val="baseline"/>
              <w:rPr>
                <w:rFonts w:hint="default"/>
                <w:color w:val="000000"/>
                <w:kern w:val="0"/>
              </w:rPr>
            </w:pPr>
            <w:r>
              <w:rPr>
                <w:rFonts w:hint="eastAsia" w:ascii="Times New Roman" w:hAnsi="Times New Roman" w:eastAsia="ＭＳ 明朝"/>
                <w:b w:val="0"/>
                <w:color w:val="000000"/>
                <w:spacing w:val="0"/>
                <w:w w:val="100"/>
                <w:sz w:val="21"/>
              </w:rPr>
              <w:t>③</w:t>
            </w:r>
            <w:r>
              <w:rPr>
                <w:rFonts w:hint="eastAsia"/>
              </w:rPr>
              <w:t>据付け時の施工確認及び据付け後の</w:t>
            </w:r>
            <w:r>
              <w:rPr>
                <w:rFonts w:hint="eastAsia" w:ascii="Times New Roman" w:hAnsi="Times New Roman" w:eastAsia="ＭＳ 明朝"/>
                <w:b w:val="0"/>
                <w:color w:val="000000"/>
                <w:spacing w:val="0"/>
                <w:w w:val="100"/>
                <w:sz w:val="21"/>
              </w:rPr>
              <w:t>性能確認について</w:t>
            </w: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p>
            <w:pPr>
              <w:pStyle w:val="0"/>
              <w:overflowPunct w:val="0"/>
              <w:snapToGrid w:val="0"/>
              <w:spacing w:line="240"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leftChars="0" w:firstLine="4620" w:firstLineChars="2200"/>
        <w:jc w:val="left"/>
        <w:rPr>
          <w:rFonts w:hint="default"/>
          <w:color w:val="000000"/>
          <w:kern w:val="0"/>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自動閉鎖陸閘工事（１）</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①製作における品質確保について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leftChars="0" w:hanging="8" w:firstLineChars="0"/>
              <w:jc w:val="both"/>
              <w:rPr>
                <w:rFonts w:hint="default" w:ascii="Times New Roman" w:hAnsi="Times New Roman" w:eastAsia="Times New Roman"/>
                <w:b w:val="0"/>
                <w:color w:val="000000"/>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②</w:t>
            </w:r>
            <w:r>
              <w:rPr>
                <w:rFonts w:hint="eastAsia"/>
              </w:rPr>
              <w:t>運搬（積込み・運搬・荷下ろし）における変形・破損防止対策</w:t>
            </w:r>
            <w:r>
              <w:rPr>
                <w:rFonts w:hint="eastAsia" w:ascii="Times New Roman" w:hAnsi="Times New Roman" w:eastAsia="ＭＳ 明朝"/>
                <w:b w:val="0"/>
                <w:color w:val="000000"/>
                <w:spacing w:val="0"/>
                <w:w w:val="100"/>
                <w:sz w:val="21"/>
              </w:rPr>
              <w:t>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jc w:val="both"/>
              <w:rPr>
                <w:rFonts w:hint="eastAsia"/>
              </w:rPr>
            </w:pPr>
          </w:p>
          <w:p>
            <w:pPr>
              <w:pStyle w:val="0"/>
              <w:overflowPunct w:val="0"/>
              <w:snapToGrid w:val="0"/>
              <w:spacing w:line="210" w:lineRule="exact"/>
              <w:ind w:left="-23" w:leftChars="0" w:firstLine="210" w:firstLineChars="100"/>
              <w:jc w:val="left"/>
              <w:textAlignment w:val="baseline"/>
              <w:rPr>
                <w:rFonts w:hint="default"/>
                <w:color w:val="000000"/>
                <w:kern w:val="0"/>
              </w:rPr>
            </w:pPr>
            <w:r>
              <w:rPr>
                <w:rFonts w:hint="eastAsia" w:ascii="Times New Roman" w:hAnsi="Times New Roman" w:eastAsia="ＭＳ 明朝"/>
                <w:b w:val="0"/>
                <w:color w:val="000000"/>
                <w:spacing w:val="0"/>
                <w:w w:val="100"/>
                <w:sz w:val="21"/>
              </w:rPr>
              <w:t>③</w:t>
            </w:r>
            <w:r>
              <w:rPr>
                <w:rFonts w:hint="eastAsia"/>
              </w:rPr>
              <w:t>据付け時の施工確認及び据付け後の</w:t>
            </w:r>
            <w:r>
              <w:rPr>
                <w:rFonts w:hint="eastAsia" w:ascii="Times New Roman" w:hAnsi="Times New Roman" w:eastAsia="ＭＳ 明朝"/>
                <w:b w:val="0"/>
                <w:color w:val="000000"/>
                <w:spacing w:val="0"/>
                <w:w w:val="100"/>
                <w:sz w:val="21"/>
              </w:rPr>
              <w:t>性能確認について</w:t>
            </w: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tc>
      </w:tr>
    </w:tbl>
    <w:p>
      <w:pPr>
        <w:pStyle w:val="0"/>
        <w:wordWrap w:val="0"/>
        <w:jc w:val="right"/>
        <w:rPr>
          <w:rFonts w:hint="default"/>
          <w:u w:val="single" w:color="auto"/>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自動閉鎖陸閘工事（１）</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napToGrid w:val="1"/>
              <w:spacing w:line="240" w:lineRule="exact"/>
              <w:ind w:firstLine="210" w:firstLineChars="100"/>
              <w:rPr>
                <w:rFonts w:hint="eastAsia"/>
                <w:color w:val="auto"/>
              </w:rPr>
            </w:pPr>
            <w:r>
              <w:rPr>
                <w:rFonts w:hint="eastAsia"/>
                <w:color w:val="auto"/>
              </w:rPr>
              <w:t>当工事は，大型の自動閉鎖陸閘及び胸壁工の新設工事であり，既設構造物の取壊しや現道掘削を伴うため，隣接する町道や漁業活動に利用されている物揚場の通行に影響を生じることから，利用者の安全確保について，十分な対応が求められるとともに，隣接して施工している自動閉鎖陸閘工事（２）との調整も必要である。</w:t>
            </w:r>
          </w:p>
          <w:p>
            <w:pPr>
              <w:pStyle w:val="0"/>
              <w:snapToGrid w:val="1"/>
              <w:spacing w:line="240" w:lineRule="exact"/>
              <w:ind w:firstLine="210" w:firstLineChars="100"/>
              <w:rPr>
                <w:rFonts w:hint="eastAsia"/>
                <w:color w:val="auto"/>
              </w:rPr>
            </w:pPr>
            <w:r>
              <w:rPr>
                <w:rFonts w:hint="eastAsia"/>
                <w:color w:val="auto"/>
              </w:rPr>
              <w:t>さらに，陸閘の設置後は，正常な起立動作を阻害する要因（戸当り部への衝突による変形や扉体上面の支障物の存置等）に対して十分な配慮が必要である。</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r>
              <w:rPr>
                <w:rFonts w:hint="eastAsia" w:ascii="Times New Roman" w:hAnsi="Times New Roman" w:eastAsia="ＭＳ 明朝"/>
                <w:color w:val="auto"/>
                <w:spacing w:val="0"/>
                <w:w w:val="100"/>
                <w:sz w:val="21"/>
              </w:rPr>
              <w:t>また，建設産業の担い手育成の観点から，この工事の施工においては，県民の建設</w:t>
            </w:r>
            <w:r>
              <w:rPr>
                <w:rFonts w:hint="eastAsia" w:ascii="Times New Roman" w:hAnsi="Times New Roman" w:eastAsia="ＭＳ 明朝"/>
                <w:color w:val="000000"/>
                <w:spacing w:val="0"/>
                <w:w w:val="100"/>
                <w:sz w:val="21"/>
              </w:rPr>
              <w:t>産業への関心を深めるための取組（例：実際の施工現場を活用した作業体験等）を実施することとしている。そのためには，取組の提案や実施する際の関係機関との事前調整，安全確保等が求められる。</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r>
              <w:rPr>
                <w:rFonts w:hint="eastAsia" w:ascii="Times New Roman" w:hAnsi="Times New Roman" w:eastAsia="ＭＳ 明朝"/>
                <w:color w:val="000000"/>
                <w:spacing w:val="0"/>
                <w:w w:val="100"/>
                <w:sz w:val="21"/>
              </w:rPr>
              <w:t>これらのことを踏まえて，次の全ての事項について具体的に記述すること。</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firstLine="210"/>
              <w:jc w:val="both"/>
              <w:rPr>
                <w:rFonts w:hint="default" w:ascii="Times New Roman" w:hAnsi="Times New Roman" w:eastAsia="Times New Roman"/>
                <w:color w:val="000000"/>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①胸壁工施工時の安全確保について</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2" w:leftChars="0" w:hanging="8"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firstLine="210"/>
              <w:jc w:val="both"/>
              <w:rPr>
                <w:rFonts w:hint="default" w:ascii="Times New Roman" w:hAnsi="Times New Roman" w:eastAsia="Times New Roman"/>
                <w:color w:val="auto"/>
                <w:spacing w:val="2"/>
              </w:rPr>
            </w:pPr>
            <w:r>
              <w:rPr>
                <w:rFonts w:hint="eastAsia" w:ascii="Times New Roman" w:hAnsi="Times New Roman" w:eastAsia="ＭＳ 明朝"/>
                <w:b w:val="0"/>
                <w:color w:val="auto"/>
                <w:spacing w:val="0"/>
                <w:w w:val="100"/>
                <w:sz w:val="21"/>
              </w:rPr>
              <w:t>②陸閘設置後の正常な起立動作を確保するための配慮及び工夫</w:t>
            </w:r>
            <w:r>
              <w:rPr>
                <w:rFonts w:hint="eastAsia"/>
                <w:b w:val="0"/>
                <w:color w:val="auto"/>
              </w:rPr>
              <w:t>について</w:t>
            </w:r>
            <w:r>
              <w:rPr>
                <w:rFonts w:hint="eastAsia" w:ascii="Times New Roman" w:hAnsi="Times New Roman" w:eastAsia="ＭＳ 明朝"/>
                <w:b w:val="0"/>
                <w:color w:val="auto"/>
                <w:spacing w:val="0"/>
                <w:w w:val="100"/>
                <w:sz w:val="21"/>
              </w:rPr>
              <w:t>　</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firstLine="210"/>
              <w:jc w:val="both"/>
              <w:rPr>
                <w:rFonts w:hint="default" w:ascii="Times New Roman" w:hAnsi="Times New Roman" w:eastAsia="Times New Roman"/>
                <w:color w:val="auto"/>
                <w:spacing w:val="2"/>
              </w:rPr>
            </w:pPr>
            <w:r>
              <w:rPr>
                <w:rFonts w:hint="eastAsia" w:ascii="Times New Roman" w:hAnsi="Times New Roman" w:eastAsia="ＭＳ 明朝"/>
                <w:b w:val="0"/>
                <w:color w:val="auto"/>
                <w:spacing w:val="0"/>
                <w:w w:val="100"/>
                <w:sz w:val="21"/>
              </w:rPr>
              <w:t>③建設産業への関心を深める取組と実施に当たっての事前調整等</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firstLine="210"/>
              <w:jc w:val="both"/>
              <w:rPr>
                <w:rFonts w:hint="default" w:ascii="Times New Roman" w:hAnsi="Times New Roman" w:eastAsia="Times New Roman"/>
                <w:color w:val="000000"/>
                <w:spacing w:val="2"/>
              </w:rPr>
            </w:pPr>
            <w:r>
              <w:rPr>
                <w:rFonts w:hint="eastAsia" w:ascii="Times New Roman" w:hAnsi="Times New Roman" w:eastAsia="ＭＳ 明朝"/>
                <w:color w:val="auto"/>
                <w:spacing w:val="0"/>
                <w:w w:val="100"/>
                <w:sz w:val="21"/>
              </w:rPr>
              <w:t>※③の有効な取組については，その費用を変更契約の対象とす</w:t>
            </w:r>
            <w:r>
              <w:rPr>
                <w:rFonts w:hint="eastAsia" w:ascii="Times New Roman" w:hAnsi="Times New Roman" w:eastAsia="ＭＳ 明朝"/>
                <w:color w:val="000000"/>
                <w:spacing w:val="0"/>
                <w:w w:val="100"/>
                <w:sz w:val="21"/>
              </w:rPr>
              <w:t>る（入札額には含めないこと。）。</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firstLine="210"/>
              <w:jc w:val="both"/>
              <w:rPr>
                <w:rFonts w:hint="default" w:ascii="Times New Roman" w:hAnsi="Times New Roman" w:eastAsia="Times New Roman"/>
                <w:color w:val="000000"/>
                <w:spacing w:val="2"/>
              </w:rPr>
            </w:pPr>
            <w:r>
              <w:rPr>
                <w:rFonts w:hint="eastAsia" w:ascii="Times New Roman" w:hAnsi="Times New Roman" w:eastAsia="ＭＳ 明朝"/>
                <w:color w:val="000000"/>
                <w:spacing w:val="0"/>
                <w:w w:val="100"/>
                <w:sz w:val="21"/>
              </w:rPr>
              <w:t>※③の申請について，受注後，関係機関等との事前調整の結果，実施ができないと判断できる場合</w:t>
            </w:r>
          </w:p>
          <w:p>
            <w:pPr>
              <w:pStyle w:val="0"/>
              <w:suppressAutoHyphens w:val="0"/>
              <w:kinsoku w:val="1"/>
              <w:wordWrap w:val="1"/>
              <w:autoSpaceDE w:val="1"/>
              <w:autoSpaceDN w:val="1"/>
              <w:adjustRightInd w:val="1"/>
              <w:snapToGrid w:val="1"/>
              <w:spacing w:before="0" w:beforeLines="0" w:beforeAutospacing="0" w:after="0" w:afterLines="0" w:afterAutospacing="0" w:line="240" w:lineRule="exact"/>
              <w:ind w:left="-20" w:leftChars="0" w:firstLine="420" w:firstLineChars="200"/>
              <w:jc w:val="both"/>
              <w:rPr>
                <w:rFonts w:hint="default" w:ascii="Times New Roman" w:hAnsi="Times New Roman" w:eastAsia="Times New Roman"/>
                <w:color w:val="000000"/>
                <w:spacing w:val="2"/>
              </w:rPr>
            </w:pPr>
            <w:r>
              <w:rPr>
                <w:rFonts w:hint="eastAsia" w:ascii="Times New Roman" w:hAnsi="Times New Roman" w:eastAsia="ＭＳ 明朝"/>
                <w:color w:val="000000"/>
                <w:spacing w:val="0"/>
                <w:w w:val="100"/>
                <w:sz w:val="21"/>
              </w:rPr>
              <w:t>は，受注者は「同等又は同等以上」の履行義務を負わない。</w:t>
            </w:r>
          </w:p>
          <w:p>
            <w:pPr>
              <w:pStyle w:val="0"/>
              <w:overflowPunct w:val="0"/>
              <w:snapToGrid w:val="1"/>
              <w:spacing w:line="240" w:lineRule="exact"/>
              <w:jc w:val="left"/>
              <w:textAlignment w:val="baseline"/>
              <w:rPr>
                <w:rFonts w:hint="default"/>
                <w:color w:val="000000" w:themeColor="text1"/>
                <w:kern w:val="0"/>
              </w:rPr>
            </w:pPr>
          </w:p>
          <w:p>
            <w:pPr>
              <w:pStyle w:val="0"/>
              <w:overflowPunct w:val="0"/>
              <w:snapToGrid w:val="1"/>
              <w:spacing w:line="240" w:lineRule="exact"/>
              <w:jc w:val="left"/>
              <w:textAlignment w:val="baseline"/>
              <w:rPr>
                <w:rFonts w:hint="default"/>
                <w:color w:val="000000" w:themeColor="text1"/>
                <w:kern w:val="0"/>
              </w:rPr>
            </w:pPr>
          </w:p>
          <w:p>
            <w:pPr>
              <w:pStyle w:val="0"/>
              <w:overflowPunct w:val="0"/>
              <w:snapToGrid w:val="1"/>
              <w:spacing w:line="240" w:lineRule="exact"/>
              <w:jc w:val="left"/>
              <w:textAlignment w:val="baseline"/>
              <w:rPr>
                <w:rFonts w:hint="default"/>
                <w:color w:val="000000" w:themeColor="text1"/>
                <w:kern w:val="0"/>
              </w:rPr>
            </w:pPr>
          </w:p>
          <w:p>
            <w:pPr>
              <w:pStyle w:val="0"/>
              <w:overflowPunct w:val="0"/>
              <w:snapToGrid w:val="1"/>
              <w:spacing w:line="240" w:lineRule="exact"/>
              <w:jc w:val="left"/>
              <w:textAlignment w:val="baseline"/>
              <w:rPr>
                <w:rFonts w:hint="default"/>
                <w:color w:val="000000"/>
                <w:kern w:val="0"/>
              </w:rPr>
            </w:pPr>
          </w:p>
          <w:p>
            <w:pPr>
              <w:pStyle w:val="0"/>
              <w:overflowPunct w:val="0"/>
              <w:snapToGrid w:val="1"/>
              <w:spacing w:line="240"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themeColor="text1"/>
          <w:kern w:val="0"/>
          <w:sz w:val="22"/>
        </w:rPr>
        <w:t>Ｒ２波土　浅川港海岸（浅川地区）　海・浅川　自動閉鎖陸閘工事（１）</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snapToGrid w:val="0"/>
              <w:spacing w:line="240" w:lineRule="exact"/>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2" w:firstLine="210"/>
              <w:jc w:val="both"/>
              <w:rPr>
                <w:rFonts w:hint="default" w:ascii="Times New Roman" w:hAnsi="Times New Roman" w:eastAsia="Times New Roman"/>
                <w:b w:val="0"/>
                <w:color w:val="000000"/>
                <w:spacing w:val="2"/>
              </w:rPr>
            </w:pPr>
            <w:r>
              <w:rPr>
                <w:rFonts w:hint="eastAsia" w:ascii="Times New Roman" w:hAnsi="Times New Roman" w:eastAsia="ＭＳ 明朝"/>
                <w:b w:val="0"/>
                <w:color w:val="000000"/>
                <w:spacing w:val="0"/>
                <w:w w:val="100"/>
                <w:sz w:val="21"/>
              </w:rPr>
              <w:t>①胸壁工施工時の安全確保について</w:t>
            </w: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leftChars="0" w:hanging="10" w:firstLineChars="0"/>
              <w:jc w:val="both"/>
              <w:rPr>
                <w:rFonts w:hint="default" w:ascii="Times New Roman" w:hAnsi="Times New Roman" w:eastAsia="Times New Roman"/>
                <w:color w:val="auto"/>
                <w:spacing w:val="2"/>
              </w:rPr>
            </w:pPr>
          </w:p>
          <w:p>
            <w:pPr>
              <w:pStyle w:val="0"/>
              <w:suppressAutoHyphens w:val="0"/>
              <w:kinsoku w:val="1"/>
              <w:wordWrap w:val="1"/>
              <w:autoSpaceDE w:val="1"/>
              <w:autoSpaceDN w:val="1"/>
              <w:adjustRightInd w:val="1"/>
              <w:snapToGrid w:val="0"/>
              <w:spacing w:before="0" w:beforeLines="0" w:beforeAutospacing="0" w:after="0" w:afterLines="0" w:afterAutospacing="0" w:line="210" w:lineRule="exact"/>
              <w:ind w:left="-20" w:firstLine="210"/>
              <w:jc w:val="both"/>
              <w:rPr>
                <w:rFonts w:hint="default" w:ascii="Times New Roman" w:hAnsi="Times New Roman" w:eastAsia="Times New Roman"/>
                <w:color w:val="auto"/>
                <w:spacing w:val="2"/>
              </w:rPr>
            </w:pPr>
            <w:r>
              <w:rPr>
                <w:rFonts w:hint="eastAsia" w:ascii="Times New Roman" w:hAnsi="Times New Roman" w:eastAsia="ＭＳ 明朝"/>
                <w:b w:val="0"/>
                <w:color w:val="auto"/>
                <w:spacing w:val="0"/>
                <w:w w:val="100"/>
                <w:sz w:val="21"/>
              </w:rPr>
              <w:t>②陸閘設置後の正常な起立動作を確保するための配慮及び工夫</w:t>
            </w:r>
            <w:r>
              <w:rPr>
                <w:rFonts w:hint="eastAsia"/>
                <w:b w:val="0"/>
                <w:color w:val="auto"/>
              </w:rPr>
              <w:t>について</w:t>
            </w:r>
            <w:r>
              <w:rPr>
                <w:rFonts w:hint="eastAsia" w:ascii="Times New Roman" w:hAnsi="Times New Roman" w:eastAsia="ＭＳ 明朝"/>
                <w:b w:val="0"/>
                <w:color w:val="auto"/>
                <w:spacing w:val="0"/>
                <w:w w:val="100"/>
                <w:sz w:val="21"/>
              </w:rPr>
              <w:t>　</w:t>
            </w: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jc w:val="left"/>
              <w:textAlignment w:val="baseline"/>
              <w:rPr>
                <w:rFonts w:hint="default"/>
                <w:color w:val="000000"/>
                <w:kern w:val="0"/>
              </w:rPr>
            </w:pPr>
          </w:p>
          <w:p>
            <w:pPr>
              <w:pStyle w:val="0"/>
              <w:overflowPunct w:val="0"/>
              <w:snapToGrid w:val="0"/>
              <w:spacing w:line="210" w:lineRule="exact"/>
              <w:ind w:left="-23" w:leftChars="0" w:firstLine="210" w:firstLineChars="100"/>
              <w:jc w:val="left"/>
              <w:textAlignment w:val="baseline"/>
              <w:rPr>
                <w:rFonts w:hint="default"/>
                <w:color w:val="000000"/>
                <w:kern w:val="0"/>
              </w:rPr>
            </w:pPr>
            <w:r>
              <w:rPr>
                <w:rFonts w:hint="eastAsia" w:ascii="Times New Roman" w:hAnsi="Times New Roman" w:eastAsia="ＭＳ 明朝"/>
                <w:b w:val="0"/>
                <w:color w:val="auto"/>
                <w:spacing w:val="0"/>
                <w:w w:val="100"/>
                <w:sz w:val="21"/>
              </w:rPr>
              <w:t>③建設産業への関心を深める取組と実施に当たっての事前調整等</w:t>
            </w: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p>
          <w:p>
            <w:pPr>
              <w:pStyle w:val="0"/>
              <w:overflowPunct w:val="0"/>
              <w:snapToGrid w:val="0"/>
              <w:spacing w:line="210" w:lineRule="exact"/>
              <w:jc w:val="left"/>
              <w:textAlignment w:val="baseline"/>
              <w:rPr>
                <w:rFonts w:hint="default"/>
                <w:color w:val="000000"/>
                <w:kern w:val="0"/>
              </w:rPr>
            </w:pPr>
            <w:bookmarkStart w:id="0" w:name="_GoBack"/>
            <w:bookmarkEnd w:id="0"/>
          </w:p>
        </w:tc>
      </w:tr>
    </w:tbl>
    <w:p>
      <w:pPr>
        <w:pStyle w:val="0"/>
        <w:wordWrap w:val="0"/>
        <w:jc w:val="both"/>
        <w:rPr>
          <w:rFonts w:hint="default"/>
          <w:u w:val="single" w:color="auto"/>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argin-left:4pt;mso-position-horizontal-relative:text;mso-position-vertical-relative:text;position:absolute;height:254.25pt;width:464.25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1"/>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7</Pages>
  <Words>8</Words>
  <Characters>2287</Characters>
  <Application>JUST Note</Application>
  <Lines>337</Lines>
  <Paragraphs>77</Paragraphs>
  <Company>徳島県</Company>
  <CharactersWithSpaces>2544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Tamura Akinori</cp:lastModifiedBy>
  <cp:lastPrinted>2020-05-20T05:43:14Z</cp:lastPrinted>
  <dcterms:created xsi:type="dcterms:W3CDTF">2017-05-22T00:06:00Z</dcterms:created>
  <dcterms:modified xsi:type="dcterms:W3CDTF">2020-05-25T02:30:28Z</dcterms:modified>
  <cp:revision>11</cp:revision>
</cp:coreProperties>
</file>